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D3B" w:rsidRDefault="0090307B" w:rsidP="00E46151">
      <w:pPr>
        <w:autoSpaceDE w:val="0"/>
        <w:autoSpaceDN w:val="0"/>
        <w:adjustRightInd w:val="0"/>
        <w:spacing w:after="0" w:line="240" w:lineRule="auto"/>
        <w:rPr>
          <w:rFonts w:ascii="NimbusRomNo9L-Regu" w:hAnsi="NimbusRomNo9L-Regu" w:cs="NimbusRomNo9L-Regu"/>
          <w:sz w:val="20"/>
          <w:szCs w:val="20"/>
        </w:rPr>
      </w:pPr>
      <w:r>
        <w:rPr>
          <w:rFonts w:ascii="NimbusRomNo9L-Regu" w:hAnsi="NimbusRomNo9L-Regu" w:cs="NimbusRomNo9L-Regu"/>
          <w:noProof/>
          <w:sz w:val="20"/>
          <w:szCs w:val="20"/>
        </w:rPr>
        <w:drawing>
          <wp:inline distT="0" distB="0" distL="0" distR="0" wp14:anchorId="27A66EE7" wp14:editId="36F9672A">
            <wp:extent cx="5929885" cy="4367530"/>
            <wp:effectExtent l="0" t="0" r="0" b="0"/>
            <wp:docPr id="1366204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835" cy="4375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07B" w:rsidRDefault="0090307B" w:rsidP="0090307B">
      <w:pPr>
        <w:autoSpaceDE w:val="0"/>
        <w:autoSpaceDN w:val="0"/>
        <w:adjustRightInd w:val="0"/>
        <w:spacing w:after="0" w:line="240" w:lineRule="auto"/>
        <w:rPr>
          <w:rFonts w:ascii="NimbusSanL-Bold" w:hAnsi="NimbusSanL-Bold" w:cs="NimbusSanL-Bold"/>
          <w:bCs/>
          <w:sz w:val="20"/>
          <w:szCs w:val="20"/>
        </w:rPr>
      </w:pPr>
      <w:r w:rsidRPr="00CB7BC0">
        <w:rPr>
          <w:rFonts w:ascii="NimbusSanL-Bold" w:hAnsi="NimbusSanL-Bold" w:cs="NimbusSanL-Bold"/>
          <w:b/>
          <w:bCs/>
          <w:sz w:val="20"/>
          <w:szCs w:val="20"/>
        </w:rPr>
        <w:t xml:space="preserve">Figure </w:t>
      </w:r>
      <w:r>
        <w:rPr>
          <w:rFonts w:ascii="NimbusSanL-Bold" w:hAnsi="NimbusSanL-Bold" w:cs="NimbusSanL-Bold"/>
          <w:b/>
          <w:bCs/>
          <w:sz w:val="20"/>
          <w:szCs w:val="20"/>
        </w:rPr>
        <w:t>S1</w:t>
      </w:r>
      <w:r w:rsidRPr="00CB7BC0">
        <w:rPr>
          <w:rFonts w:ascii="NimbusSanL-Bold" w:hAnsi="NimbusSanL-Bold" w:cs="NimbusSanL-Bold"/>
          <w:b/>
          <w:bCs/>
          <w:sz w:val="20"/>
          <w:szCs w:val="20"/>
        </w:rPr>
        <w:t xml:space="preserve">. 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Method A: Ceres Microbiome A beads using 40 mL wastewater. This method allows for magnetic separation of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from wastewater followed by nucleic acid extraction via </w:t>
      </w:r>
      <w:r w:rsidR="004331EC">
        <w:rPr>
          <w:rFonts w:ascii="NimbusSanL-Bold" w:hAnsi="NimbusSanL-Bold" w:cs="NimbusSanL-Bold"/>
          <w:bCs/>
          <w:sz w:val="20"/>
          <w:szCs w:val="20"/>
        </w:rPr>
        <w:t xml:space="preserve">the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Qiagen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QIAamp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Viral RNA kit. Sequencing via Illumina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NextSeq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2000 did not generate any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specific sequences.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is low abundance in wastewater so volume used for </w:t>
      </w:r>
      <w:r w:rsidR="00583BA4">
        <w:rPr>
          <w:rFonts w:ascii="NimbusSanL-Bold" w:hAnsi="NimbusSanL-Bold" w:cs="NimbusSanL-Bold"/>
          <w:bCs/>
          <w:sz w:val="20"/>
          <w:szCs w:val="20"/>
        </w:rPr>
        <w:t xml:space="preserve">subsequent 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processing </w:t>
      </w:r>
      <w:r w:rsidR="0055701D">
        <w:rPr>
          <w:rFonts w:ascii="NimbusSanL-Bold" w:hAnsi="NimbusSanL-Bold" w:cs="NimbusSanL-Bold"/>
          <w:bCs/>
          <w:sz w:val="20"/>
          <w:szCs w:val="20"/>
        </w:rPr>
        <w:t xml:space="preserve">methods 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was increased to allow for greater chance of detection. Method B: PEG Precipitation using 150 mL wastewater. This method allowed for DNA from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to be precipitated out of the wastewater followed by centrifugation to pellet and nucleic acid extraction via </w:t>
      </w:r>
      <w:r w:rsidR="0055701D">
        <w:rPr>
          <w:rFonts w:ascii="NimbusSanL-Bold" w:hAnsi="NimbusSanL-Bold" w:cs="NimbusSanL-Bold"/>
          <w:bCs/>
          <w:sz w:val="20"/>
          <w:szCs w:val="20"/>
        </w:rPr>
        <w:t xml:space="preserve">the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Qiagen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Al</w:t>
      </w:r>
      <w:r w:rsidR="00D551F8">
        <w:rPr>
          <w:rFonts w:ascii="NimbusSanL-Bold" w:hAnsi="NimbusSanL-Bold" w:cs="NimbusSanL-Bold"/>
          <w:bCs/>
          <w:sz w:val="20"/>
          <w:szCs w:val="20"/>
        </w:rPr>
        <w:t>lPrep</w:t>
      </w:r>
      <w:proofErr w:type="spellEnd"/>
      <w:r w:rsidR="00D551F8">
        <w:rPr>
          <w:rFonts w:ascii="NimbusSanL-Bold" w:hAnsi="NimbusSanL-Bold" w:cs="NimbusSanL-Bold"/>
          <w:bCs/>
          <w:sz w:val="20"/>
          <w:szCs w:val="20"/>
        </w:rPr>
        <w:t xml:space="preserve"> Power Viral DNA/RNA kit. 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Sequencing via Illumina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NextSeq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2000 did not generate any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specific sequences. Method C: Filtration and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Amicon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Concentration using 150 mL wastewater. This method used filtration to separate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from wastewater and </w:t>
      </w:r>
      <w:proofErr w:type="spellStart"/>
      <w:r w:rsidR="00D551F8">
        <w:rPr>
          <w:rFonts w:ascii="NimbusSanL-Bold" w:hAnsi="NimbusSanL-Bold" w:cs="NimbusSanL-Bold"/>
          <w:bCs/>
          <w:sz w:val="20"/>
          <w:szCs w:val="20"/>
        </w:rPr>
        <w:t>A</w:t>
      </w:r>
      <w:r w:rsidRPr="00CB7BC0">
        <w:rPr>
          <w:rFonts w:ascii="NimbusSanL-Bold" w:hAnsi="NimbusSanL-Bold" w:cs="NimbusSanL-Bold"/>
          <w:bCs/>
          <w:sz w:val="20"/>
          <w:szCs w:val="20"/>
        </w:rPr>
        <w:t>micon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filtration to concentrate the virus prior to nucleic acid extraction using </w:t>
      </w:r>
      <w:r w:rsidR="00D551F8">
        <w:rPr>
          <w:rFonts w:ascii="NimbusSanL-Bold" w:hAnsi="NimbusSanL-Bold" w:cs="NimbusSanL-Bold"/>
          <w:bCs/>
          <w:sz w:val="20"/>
          <w:szCs w:val="20"/>
        </w:rPr>
        <w:t xml:space="preserve">the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Qiagen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QIAamp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DNA Mini Kit. Sequencing via Illumina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NextSeq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2000 also did not generate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specific sequences. Method D: Extraction of Solids Pellet using 150 mL wastewater. This method used centrifugation at moderate speed for 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a 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long period to pellet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in the wastewater. Supernatant was removed; pellet was lysed and nucleic acid extraction via 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the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Qiagen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DNeasy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PowerSoil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Pro kit. Sequencing via Illumina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NextSeq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2000 did not generate any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specific sequences. Method E: Extraction of Solid Phase via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KingFisher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using 120 mL 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of 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wastewater. Using an established and working protocol from Mejia et al. 2024, </w:t>
      </w:r>
      <w:r w:rsidR="00100F36">
        <w:rPr>
          <w:rFonts w:ascii="NimbusSanL-Bold" w:hAnsi="NimbusSanL-Bold" w:cs="NimbusSanL-Bold"/>
          <w:bCs/>
          <w:sz w:val="20"/>
          <w:szCs w:val="20"/>
        </w:rPr>
        <w:t>modification were made to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make it cleaner for </w:t>
      </w:r>
      <w:r w:rsidR="002C5055">
        <w:rPr>
          <w:rFonts w:ascii="NimbusSanL-Bold" w:hAnsi="NimbusSanL-Bold" w:cs="NimbusSanL-Bold"/>
          <w:bCs/>
          <w:sz w:val="20"/>
          <w:szCs w:val="20"/>
        </w:rPr>
        <w:t>genomic s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equencing by implement a purification step using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AMPure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XP beads prior to submitting for Illumina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NextSeq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2000 sequencing and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specific sequences were generated. This showed that an increase in wastewater volume and the right extraction kit could allow for detection of </w:t>
      </w:r>
      <w:r w:rsidR="00EC245B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in wastewater. This lead to modification of method A to allow us to see if we could also detect wastewater from the suspension phase. Method F: Ceres Microbiome </w:t>
      </w:r>
      <w:bookmarkStart w:id="0" w:name="_GoBack"/>
      <w:bookmarkEnd w:id="0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A beads using 100 mL wastewater. This method was done according to the manufactures protocol with a few modification. Each 50 mL tube was treated with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Nanotrap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particles and were then combined at the lysis step only using a single volume of lysis buffer. Nucleic acid extraction was done using 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the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Qiagen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AllPrep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Power Viral DNA/RNA kit instead of the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QIAamp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Viral RNA kit previously used to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 enable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DNA extraction. Sequencing via Illumina </w:t>
      </w:r>
      <w:proofErr w:type="spellStart"/>
      <w:r w:rsidRPr="00CB7BC0">
        <w:rPr>
          <w:rFonts w:ascii="NimbusSanL-Bold" w:hAnsi="NimbusSanL-Bold" w:cs="NimbusSanL-Bold"/>
          <w:bCs/>
          <w:sz w:val="20"/>
          <w:szCs w:val="20"/>
        </w:rPr>
        <w:t>NextSeq</w:t>
      </w:r>
      <w:proofErr w:type="spellEnd"/>
      <w:r w:rsidRPr="00CB7BC0">
        <w:rPr>
          <w:rFonts w:ascii="NimbusSanL-Bold" w:hAnsi="NimbusSanL-Bold" w:cs="NimbusSanL-Bold"/>
          <w:bCs/>
          <w:sz w:val="20"/>
          <w:szCs w:val="20"/>
        </w:rPr>
        <w:t xml:space="preserve"> 2000 sequencing and </w:t>
      </w:r>
      <w:r w:rsidR="00100F36">
        <w:rPr>
          <w:rFonts w:ascii="NimbusSanL-Bold" w:hAnsi="NimbusSanL-Bold" w:cs="NimbusSanL-Bold"/>
          <w:bCs/>
          <w:sz w:val="20"/>
          <w:szCs w:val="20"/>
        </w:rPr>
        <w:t>MPXV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</w:t>
      </w:r>
      <w:r w:rsidR="00100F36" w:rsidRPr="00CB7BC0">
        <w:rPr>
          <w:rFonts w:ascii="NimbusSanL-Bold" w:hAnsi="NimbusSanL-Bold" w:cs="NimbusSanL-Bold"/>
          <w:bCs/>
          <w:sz w:val="20"/>
          <w:szCs w:val="20"/>
        </w:rPr>
        <w:t>specific</w:t>
      </w:r>
      <w:r w:rsidRPr="00CB7BC0">
        <w:rPr>
          <w:rFonts w:ascii="NimbusSanL-Bold" w:hAnsi="NimbusSanL-Bold" w:cs="NimbusSanL-Bold"/>
          <w:bCs/>
          <w:sz w:val="20"/>
          <w:szCs w:val="20"/>
        </w:rPr>
        <w:t xml:space="preserve"> sequences were also generated </w:t>
      </w:r>
      <w:r w:rsidRPr="00CB7BC0">
        <w:rPr>
          <w:rFonts w:ascii="NimbusSanL-Bold" w:hAnsi="NimbusSanL-Bold" w:cs="NimbusSanL-Bold"/>
          <w:bCs/>
          <w:sz w:val="20"/>
          <w:szCs w:val="20"/>
        </w:rPr>
        <w:lastRenderedPageBreak/>
        <w:t>using this method.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 Due to </w:t>
      </w:r>
      <w:r w:rsidR="006B5907">
        <w:rPr>
          <w:rFonts w:ascii="NimbusSanL-Bold" w:hAnsi="NimbusSanL-Bold" w:cs="NimbusSanL-Bold"/>
          <w:bCs/>
          <w:sz w:val="20"/>
          <w:szCs w:val="20"/>
        </w:rPr>
        <w:t xml:space="preserve">the </w:t>
      </w:r>
      <w:r w:rsidR="00100F36">
        <w:rPr>
          <w:rFonts w:ascii="NimbusSanL-Bold" w:hAnsi="NimbusSanL-Bold" w:cs="NimbusSanL-Bold"/>
          <w:bCs/>
          <w:sz w:val="20"/>
          <w:szCs w:val="20"/>
        </w:rPr>
        <w:t>limited volume of wastewater samples available</w:t>
      </w:r>
      <w:r w:rsidR="006B5907">
        <w:rPr>
          <w:rFonts w:ascii="NimbusSanL-Bold" w:hAnsi="NimbusSanL-Bold" w:cs="NimbusSanL-Bold"/>
          <w:bCs/>
          <w:sz w:val="20"/>
          <w:szCs w:val="20"/>
        </w:rPr>
        <w:t>,</w:t>
      </w:r>
      <w:r w:rsidR="00100F36">
        <w:rPr>
          <w:rFonts w:ascii="NimbusSanL-Bold" w:hAnsi="NimbusSanL-Bold" w:cs="NimbusSanL-Bold"/>
          <w:bCs/>
          <w:sz w:val="20"/>
          <w:szCs w:val="20"/>
        </w:rPr>
        <w:t xml:space="preserve"> </w:t>
      </w:r>
      <w:r w:rsidR="006B5907">
        <w:rPr>
          <w:rFonts w:ascii="NimbusSanL-Bold" w:hAnsi="NimbusSanL-Bold" w:cs="NimbusSanL-Bold"/>
          <w:bCs/>
          <w:sz w:val="20"/>
          <w:szCs w:val="20"/>
        </w:rPr>
        <w:t xml:space="preserve">only </w:t>
      </w:r>
      <w:r w:rsidR="00100F36">
        <w:rPr>
          <w:rFonts w:ascii="NimbusSanL-Bold" w:hAnsi="NimbusSanL-Bold" w:cs="NimbusSanL-Bold"/>
          <w:bCs/>
          <w:sz w:val="20"/>
          <w:szCs w:val="20"/>
        </w:rPr>
        <w:t>consensus sequences from Method E are presented in this study.</w:t>
      </w:r>
    </w:p>
    <w:p w:rsidR="0090307B" w:rsidRPr="00E46151" w:rsidRDefault="0090307B" w:rsidP="00E46151">
      <w:pPr>
        <w:autoSpaceDE w:val="0"/>
        <w:autoSpaceDN w:val="0"/>
        <w:adjustRightInd w:val="0"/>
        <w:spacing w:after="0" w:line="240" w:lineRule="auto"/>
        <w:rPr>
          <w:rFonts w:ascii="NimbusRomNo9L-Regu" w:hAnsi="NimbusRomNo9L-Regu" w:cs="NimbusRomNo9L-Regu"/>
          <w:sz w:val="20"/>
          <w:szCs w:val="20"/>
        </w:rPr>
      </w:pPr>
    </w:p>
    <w:sectPr w:rsidR="0090307B" w:rsidRPr="00E46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SanL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19"/>
    <w:rsid w:val="00012E59"/>
    <w:rsid w:val="00100F36"/>
    <w:rsid w:val="002C5055"/>
    <w:rsid w:val="003A4037"/>
    <w:rsid w:val="00411D14"/>
    <w:rsid w:val="004331EC"/>
    <w:rsid w:val="0055701D"/>
    <w:rsid w:val="00583BA4"/>
    <w:rsid w:val="006B5907"/>
    <w:rsid w:val="007F2D3B"/>
    <w:rsid w:val="0090307B"/>
    <w:rsid w:val="00BE4819"/>
    <w:rsid w:val="00D551F8"/>
    <w:rsid w:val="00E46151"/>
    <w:rsid w:val="00EC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01B4F"/>
  <w15:chartTrackingRefBased/>
  <w15:docId w15:val="{C6E3B616-6AA7-4142-B2B7-7ABE24B0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325F-8F9B-4574-A8E7-3C825385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411</Words>
  <Characters>2344</Characters>
  <Application>Microsoft Office Word</Application>
  <DocSecurity>0</DocSecurity>
  <Lines>19</Lines>
  <Paragraphs>5</Paragraphs>
  <ScaleCrop>false</ScaleCrop>
  <Company>Public Health Agency of Canada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 Fisher</dc:creator>
  <cp:keywords/>
  <dc:description/>
  <cp:lastModifiedBy>Mathew Fisher</cp:lastModifiedBy>
  <cp:revision>13</cp:revision>
  <dcterms:created xsi:type="dcterms:W3CDTF">2025-03-27T13:41:00Z</dcterms:created>
  <dcterms:modified xsi:type="dcterms:W3CDTF">2025-03-31T14:57:00Z</dcterms:modified>
</cp:coreProperties>
</file>